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E5231">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E5231">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E5231">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6E5231">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1" w:name="_Toc88657645"/>
      <w:r w:rsidRPr="008C5207">
        <w:lastRenderedPageBreak/>
        <w:t>ANAGRAFICA AMMINISTRAZIONE</w:t>
      </w:r>
      <w:bookmarkEnd w:id="1"/>
    </w:p>
    <w:p w:rsidR="008E1EEB" w:rsidRDefault="008E1EEB" w:rsidP="00A82AEF"/>
    <w:p w:rsidR="00A82AEF" w:rsidRPr="00B86349" w:rsidRDefault="00A82AEF" w:rsidP="00A82AEF">
      <w:pPr>
        <w:rPr>
          <w:u w:val="single"/>
        </w:rPr>
      </w:pPr>
      <w:r>
        <w:t>Codice fiscale Amministrazione:</w:t>
      </w:r>
      <w:r w:rsidR="00415712">
        <w:t xml:space="preserve"> </w:t>
      </w:r>
      <w:r w:rsidR="007F66BA">
        <w:t>92088450397</w:t>
      </w:r>
    </w:p>
    <w:p w:rsidR="00A82AEF" w:rsidRDefault="00A82AEF" w:rsidP="00A82AEF">
      <w:r>
        <w:t>Denominazione Amministrazione:</w:t>
      </w:r>
      <w:r w:rsidR="00415712">
        <w:t xml:space="preserve"> </w:t>
      </w:r>
      <w:r w:rsidR="007F66BA">
        <w:t>ISTITUTO SUPERIORE DI STUDI MUSICALI GIUSEPPE VERDI</w:t>
      </w:r>
    </w:p>
    <w:p w:rsidR="007F66BA" w:rsidRDefault="007C4A01" w:rsidP="00A82AEF">
      <w:r>
        <w:t>Tipologia di amministrazione</w:t>
      </w:r>
      <w:r w:rsidR="00A82AEF">
        <w:t>:</w:t>
      </w:r>
      <w:r w:rsidR="00415712">
        <w:t xml:space="preserve"> </w:t>
      </w:r>
      <w:r w:rsidR="007F66BA">
        <w:t>Università o istituto di istruzione universitaria pubblico</w:t>
      </w:r>
    </w:p>
    <w:p w:rsidR="00A82AEF" w:rsidRDefault="00A82AEF" w:rsidP="00A82AEF">
      <w:r>
        <w:t>Regione di appartenenza:</w:t>
      </w:r>
      <w:r w:rsidR="00415712" w:rsidRPr="00415712">
        <w:t xml:space="preserve"> </w:t>
      </w:r>
      <w:r w:rsidR="007F66BA">
        <w:t>Emilia-Romagna</w:t>
      </w:r>
    </w:p>
    <w:p w:rsidR="00A82AEF" w:rsidRDefault="00A82AEF" w:rsidP="00A82AEF">
      <w:r>
        <w:t>Classe dipendenti:</w:t>
      </w:r>
      <w:r w:rsidR="00415712" w:rsidRPr="00415712">
        <w:t xml:space="preserve"> </w:t>
      </w:r>
      <w:r w:rsidR="007F66BA">
        <w:t>da 20 a 99</w:t>
      </w:r>
    </w:p>
    <w:p w:rsidR="00DF06C3" w:rsidRDefault="00A82AEF" w:rsidP="00A82AEF">
      <w:r>
        <w:t>Numero totale Dirigenti</w:t>
      </w:r>
      <w:r w:rsidR="007F66BA">
        <w:t>: 1</w:t>
      </w:r>
    </w:p>
    <w:p w:rsidR="007C4A01" w:rsidRDefault="007C4A01" w:rsidP="00A82AEF">
      <w:r>
        <w:t xml:space="preserve">Numero di dipendenti con funzioni dirigenziali: </w:t>
      </w:r>
      <w:r w:rsidR="006879CD">
        <w:t>1</w:t>
      </w:r>
    </w:p>
    <w:p w:rsidR="00651A97" w:rsidRDefault="00651A97" w:rsidP="00A82AEF"/>
    <w:p w:rsidR="00A82AEF" w:rsidRPr="00A82AEF" w:rsidRDefault="0066646A" w:rsidP="00521000">
      <w:pPr>
        <w:pStyle w:val="Titolo1"/>
      </w:pPr>
      <w:bookmarkStart w:id="2" w:name="_Toc88657646"/>
      <w:r>
        <w:t xml:space="preserve">ANAGRAFICA </w:t>
      </w:r>
      <w:r w:rsidR="00A82AEF">
        <w:t>RPCT</w:t>
      </w:r>
      <w:bookmarkEnd w:id="2"/>
    </w:p>
    <w:p w:rsidR="00A82AEF" w:rsidRDefault="00A82AEF" w:rsidP="00A82AEF"/>
    <w:p w:rsidR="00B86349" w:rsidRDefault="000D2A7E" w:rsidP="00B86349">
      <w:r>
        <w:t>Nome RPC</w:t>
      </w:r>
      <w:r w:rsidR="007C4A01">
        <w:t>T</w:t>
      </w:r>
      <w:r>
        <w:t>:</w:t>
      </w:r>
      <w:r w:rsidRPr="00415712">
        <w:t xml:space="preserve"> </w:t>
      </w:r>
      <w:r w:rsidR="00B86349">
        <w:t>ANNA MARIA</w:t>
      </w:r>
    </w:p>
    <w:p w:rsidR="000D2A7E" w:rsidRDefault="000D2A7E" w:rsidP="000D2A7E">
      <w:r>
        <w:t>Cognome RPC</w:t>
      </w:r>
      <w:r w:rsidR="007C4A01">
        <w:t>T</w:t>
      </w:r>
      <w:r w:rsidR="00B86349">
        <w:t>: STORACE</w:t>
      </w:r>
    </w:p>
    <w:p w:rsidR="00B86349" w:rsidRDefault="000D2A7E" w:rsidP="000D2A7E">
      <w:r>
        <w:t>Qualifica:</w:t>
      </w:r>
      <w:r w:rsidRPr="00415712">
        <w:t xml:space="preserve"> </w:t>
      </w:r>
      <w:r w:rsidR="00B86349">
        <w:t xml:space="preserve"> Direttore</w:t>
      </w:r>
    </w:p>
    <w:p w:rsidR="000D2A7E" w:rsidRDefault="000D2A7E" w:rsidP="000D2A7E">
      <w:r>
        <w:t xml:space="preserve">Posizione occupata: </w:t>
      </w:r>
      <w:r w:rsidR="00B86349">
        <w:t>Direttore</w:t>
      </w:r>
    </w:p>
    <w:p w:rsidR="000D2A7E" w:rsidRDefault="000D2A7E" w:rsidP="000D2A7E">
      <w:r>
        <w:t>Data inizio incarico di RPC</w:t>
      </w:r>
      <w:r w:rsidR="007C4A01">
        <w:t>T</w:t>
      </w:r>
      <w:r>
        <w:t>:</w:t>
      </w:r>
      <w:r w:rsidRPr="00415712">
        <w:t xml:space="preserve"> </w:t>
      </w:r>
      <w:r w:rsidR="00B86349">
        <w:t>30/01/2020</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3" w:name="OLE_LINK1"/>
      <w:bookmarkStart w:id="4" w:name="_Toc88657647"/>
      <w:r>
        <w:t>RENDICONTAZIONE MISURE GENERALI</w:t>
      </w:r>
      <w:bookmarkEnd w:id="3"/>
      <w:bookmarkEnd w:id="4"/>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1 misure sono state avviate le attività e, dunque, sono attualmente in corso di adozione</w:t>
      </w:r>
      <w:r>
        <w:br/>
      </w:r>
      <w:r>
        <w:br/>
        <w:t>Non è stato effettuato il monitoraggio di tutte le misure Generali per il seguente motivo: Le motivazioni riguardano le enormi variazioni in ordine alle risorse dell'istituto, alla pandemia in corso e al processo di statizzazione non ancora completato, che hanno portato a carenze in ordine al monitoraggio</w:t>
      </w:r>
    </w:p>
    <w:p w:rsidR="00837661" w:rsidRDefault="001D6AAE" w:rsidP="00A82AEF">
      <w:r>
        <w:rPr>
          <w:noProof/>
        </w:rPr>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rsidR="00B613CC" w:rsidRDefault="00B613CC" w:rsidP="00A82AEF"/>
    <w:p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2018 </w:t>
      </w:r>
      <w:r>
        <w:br/>
        <w:t>Tutti gli atti di incarico e i contratti, sono stati adeguati alle previsioni del Codice di Comportamento adottato.</w:t>
      </w:r>
      <w:r>
        <w:br/>
        <w:t>Non sono state adottate misure che garantiscono l'attuazione del Codice di Comportamento per le seguenti motivazioni:  Il PTPCT 2021-2023 ha previsto adeguate misure idonee a garantire l'attuazione del Codice di Comportamento che però non sono state attuate causa pandemia sanitaria, processo di statizzazione e cambio dell'organico Istituzionale avvenuto a metà anno. Resta salvo il fatto che con Deliberazione del CdA n. 24/2018 l'Istituto ha recepito il Codice di Comportamento del Personale del Comune di Ravenna</w:t>
      </w:r>
      <w:r>
        <w:br/>
        <w:t>Non è stata approvata/inserita nel Codice di Comportamento una apposita procedura di rilevazione delle situazioni di conflitto di interessi (Cfr. PNA 2019, Parte III, § 1.4, pag 50 e § 9 della Delibera ANAC n. 177/ 2020), per le seguenti motivazioni:  Il PTPCT 2021-2023 ha previsto adeguate misure idonee a garantire l'attuazione del Codice di Comportamento che però non sono state attuate causa pandemia sanitaria, processo di statizzazione e cambio dell'organico Istituzionale avvenuto a metà anno. Resta salvo il fatto che con Deliberazione del CdA n. 24/2018 l'Istituto ha recepito il Codice di Comportamento del Personale del Comune di Ravenna</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7" w:name="_Toc88657650"/>
      <w:r>
        <w:t>Rotazione del personale</w:t>
      </w:r>
      <w:bookmarkEnd w:id="7"/>
      <w:r w:rsidRPr="00995656">
        <w:t xml:space="preserve"> </w:t>
      </w:r>
    </w:p>
    <w:p w:rsidR="00B608A5" w:rsidRPr="00B608A5" w:rsidRDefault="00B608A5" w:rsidP="00B608A5"/>
    <w:p w:rsidR="00BE39BE" w:rsidRDefault="00B608A5" w:rsidP="002954F2">
      <w:pPr>
        <w:pStyle w:val="Titolo3"/>
      </w:pPr>
      <w:bookmarkStart w:id="8" w:name="_Toc88657651"/>
      <w:r>
        <w:t>Rotazione Ordinaria</w:t>
      </w:r>
      <w:bookmarkEnd w:id="8"/>
    </w:p>
    <w:p w:rsidR="00D86271" w:rsidRDefault="00D86271" w:rsidP="00D86271"/>
    <w:p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A causa delle ridotte dimensioni, oltre che della carenza di personale e di risorse, l'Istituto non è in grado di applicare la misura della rotazione ordinaria del personale però verranno attuate nel corso del triennio 2021-2023 misure alternative con effetti analoghi alla rotazione tra cui rilevano modalità operative che favoriscano una maggiore compartecipazione del personale alle attività</w:t>
      </w:r>
    </w:p>
    <w:p w:rsidR="00BC36D4" w:rsidRPr="00BC36D4" w:rsidRDefault="00BC36D4" w:rsidP="00D86271">
      <w:pPr>
        <w:rPr>
          <w:u w:val="single"/>
        </w:rPr>
      </w:pPr>
      <w:r>
        <w:lastRenderedPageBreak/>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9" w:name="_Toc88657652"/>
      <w:r>
        <w:t>Rotazione Straordinaria</w:t>
      </w:r>
      <w:bookmarkEnd w:id="9"/>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10" w:name="_Toc88657653"/>
      <w:r>
        <w:t>Trasferimento d’ufficio</w:t>
      </w:r>
      <w:bookmarkEnd w:id="10"/>
    </w:p>
    <w:p w:rsidR="000E2B36" w:rsidRDefault="000E2B36" w:rsidP="00B608A5"/>
    <w:p w:rsidR="00076B3D" w:rsidRDefault="00076B3D" w:rsidP="00B608A5">
      <w:r>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rsidR="00E0390C" w:rsidRDefault="00E0390C" w:rsidP="00A82AEF"/>
    <w:p w:rsidR="004E51E9" w:rsidRDefault="004E51E9" w:rsidP="00354388">
      <w:r>
        <w:t xml:space="preserve">Le misure in materia di conflitto di interessi non sono state programmate nel PTPCT in esame o, laddove siano state già adottate negli anni precedenti, non si prevede di realizzare interventi correttivi o ad esse collegati, per le seguenti motivazioni: </w:t>
      </w:r>
      <w:r>
        <w:br/>
        <w:t>Nella parte sulle misure generali l'Istituto si ha specificato che si riserva la possibilità di adottare Regolamenti sulle tematiche di cui in oggetto (i cui interessati sono i dipendenti, oltre che gli organi di indirizzo dell'Istituto), oltre che specifici atti volti all'adozione di misure in materia.</w:t>
      </w:r>
    </w:p>
    <w:p w:rsidR="00B417C3" w:rsidRDefault="00B417C3" w:rsidP="00354388"/>
    <w:p w:rsidR="009B6C9E" w:rsidRDefault="009B6C9E" w:rsidP="00354388"/>
    <w:p w:rsidR="009B6C9E" w:rsidRDefault="009B6C9E" w:rsidP="00354388"/>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r w:rsidRPr="002954F2">
        <w:rPr>
          <w:lang w:val="en-US"/>
        </w:rPr>
        <w:t xml:space="preserve">La misura “Whistleblowing” non è stata programmata nel PTPCT in esame o, laddove la misura sia stata già adottata negli anni precedenti, non si prevede di realizzare interventi correttivi o ad essa collegati per le seguenti motivazioni: </w:t>
      </w:r>
      <w:r w:rsidRPr="002954F2">
        <w:rPr>
          <w:lang w:val="en-US"/>
        </w:rPr>
        <w:br/>
        <w:t>Per quanto riguarda le misure generali di tutela del whistleblower, l'Istituto ha intenzione nel corso del triennio 2021-2023 di mettere a disposizione sul proprio sito istituzionale moduli/questionari, per guidare il whistleblower a rendere esaustivo il contenuto delle segnalazioni</w:t>
      </w:r>
    </w:p>
    <w:p w:rsidR="002E3A01" w:rsidRPr="002954F2" w:rsidRDefault="002E3A01" w:rsidP="00354388">
      <w:pPr>
        <w:rPr>
          <w:lang w:val="en-US"/>
        </w:rPr>
      </w:pPr>
    </w:p>
    <w:p w:rsidR="002E3A01" w:rsidRPr="002954F2" w:rsidRDefault="002E3A01" w:rsidP="00354388">
      <w:pPr>
        <w:rPr>
          <w:lang w:val="en-US"/>
        </w:rPr>
      </w:pPr>
    </w:p>
    <w:p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3" w:name="_Toc88657656"/>
      <w:r>
        <w:t>Formazione</w:t>
      </w:r>
      <w:bookmarkEnd w:id="13"/>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di riferimento, non è stata ancora attuata. in particolare: </w:t>
      </w:r>
      <w:r>
        <w:br/>
        <w:t>Sono state avviate le attività e, dunque, la misura è attualmente in corso di adozione</w:t>
      </w:r>
    </w:p>
    <w:p w:rsidR="007623AA" w:rsidRDefault="007623AA" w:rsidP="00354388"/>
    <w:p w:rsidR="00554955" w:rsidRDefault="00554955" w:rsidP="00354388"/>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4" w:name="_Toc88657657"/>
      <w:r w:rsidRPr="00671003">
        <w:t>Trasparenza</w:t>
      </w:r>
      <w:bookmarkEnd w:id="14"/>
    </w:p>
    <w:p w:rsidR="00220806" w:rsidRPr="001D6AAE" w:rsidRDefault="00220806" w:rsidP="00FF5F58"/>
    <w:p w:rsidR="00BD1446" w:rsidRDefault="00BD1446" w:rsidP="001D6AAE"/>
    <w:p w:rsidR="00BD1446" w:rsidRDefault="00BD1446" w:rsidP="001D6AAE">
      <w:r>
        <w:t xml:space="preserve">Nell’anno di riferimento del PTPCT in esame, non sono stati svolti monitoraggi sulla pubblicazione dei dati così come previsti nel PTPCT per le seguenti motivazioni:  </w:t>
      </w:r>
      <w:r>
        <w:br/>
        <w:t>Nel corso del 2021 l'Istituto ha subito diverse modificazioni in ordine all'organico e a metà dello stesso è subentrato nuovo personale sia tecnico amministrativo che docente, motivo per cui, anche a causa della pandemia in corso e del processo di statizzazione, sono stati assolti tutti gli obblighi di pubblicazione previsti dalle norme, senza attuare in toto il monitoraggio, che è stato rinviato</w:t>
      </w:r>
    </w:p>
    <w:p w:rsidR="007623AA" w:rsidRDefault="007623AA" w:rsidP="001D6AAE"/>
    <w:p w:rsidR="00CC0B23" w:rsidRDefault="00CC0B23" w:rsidP="001D6AAE">
      <w:r>
        <w:t>L'amministrazione sta realizzando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t>La procedura per la gestione delle richieste di accesso civico “generalizzato” è stata adottata e pubblicata sul sito istituzionale.</w:t>
      </w:r>
      <w:r>
        <w:br/>
        <w:t>Nell’anno di riferimento del PTPCT non sono pervenute richieste di accesso civico “generalizzato".</w:t>
      </w:r>
      <w:r>
        <w:br/>
        <w:t xml:space="preserve">Non è stato istituito il registro degli accessi. </w:t>
      </w:r>
      <w:r>
        <w:br/>
      </w:r>
      <w:r>
        <w:br/>
        <w:t>In merito al livello di adempimento degli obblighi di trasparenza, si formula il seguente giudizio: I principali fattori che rallentano l'adempimento degli obblighi di trasparenza sono la conformazione del sito Istituzionale ancora soggetto ad interventi correttivi.</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88657658"/>
      <w:r>
        <w:t>Pantouflage</w:t>
      </w:r>
      <w:bookmarkEnd w:id="15"/>
    </w:p>
    <w:p w:rsidR="00733F24" w:rsidRPr="00B33A5B" w:rsidRDefault="00733F24" w:rsidP="00FC1197"/>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L'Istituto è caratterizzato da una dotazione organica, oltre che da risorse, del tutto ridotte rispetto ad enti di grandi dimensioni, inoltre, l'emergenza covid-19 non ha aiutato il pieno realizzarsi della previsione di tali misure, la cui adozione verrà sicuramente valutata in sede di futuri insediamenti degli organi preposti.</w:t>
      </w:r>
    </w:p>
    <w:p w:rsidR="00C84FCB" w:rsidRDefault="00C84FCB" w:rsidP="00B33A5B"/>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88657659"/>
      <w:r w:rsidRPr="005B20C9">
        <w:t>Commissioni e conferimento incarichi in caso di condanna</w:t>
      </w:r>
      <w:bookmarkEnd w:id="16"/>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L'Istituto è caratterizzato da una dotazione organica, oltre che da risorse, del tutto ridotte rispetto ad enti di grandi dimensioni, inoltre, l'emergenza covid-19 non ha aiutato il pieno realizzarsi della previsione di tali misure, la cui adozione verrà sicuramente valutata in sede di futuri insediamenti degli organi preposti</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7" w:name="_Toc88657660"/>
      <w:r>
        <w:t>Patti di integrità</w:t>
      </w:r>
      <w:bookmarkEnd w:id="17"/>
    </w:p>
    <w:p w:rsidR="00CD3792" w:rsidRDefault="00CD3792" w:rsidP="00CD3792"/>
    <w:p w:rsidR="002017E5" w:rsidRDefault="002017E5" w:rsidP="00A054EE">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L'Istituto è caratterizzato da una dotazione organica, oltre che da risorse, del tutto ridotte rispetto ad enti di grandi dimensioni, inoltre, l'emergenza covid-19 non ha aiutato il pieno realizzarsi della previsione di tali misure, la cui adozione verrà sicuramente valutata in sede di futuri insediamenti degli organi preposti.</w:t>
      </w:r>
    </w:p>
    <w:p w:rsidR="002017E5" w:rsidRDefault="002017E5" w:rsidP="00A054EE"/>
    <w:p w:rsidR="002017E5" w:rsidRDefault="002017E5" w:rsidP="00A054EE">
      <w:bookmarkStart w:id="18" w:name="_Hlk88649032"/>
    </w:p>
    <w:bookmarkEnd w:id="18"/>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9" w:name="_Toc88657661"/>
      <w:r>
        <w:t>Rapporti con i portatori di interessi particolari</w:t>
      </w:r>
      <w:bookmarkEnd w:id="19"/>
    </w:p>
    <w:p w:rsidR="00B71748" w:rsidRDefault="00B71748" w:rsidP="005D5318"/>
    <w:p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20" w:name="_Toc88657662"/>
      <w:r>
        <w:t>Considerazioni</w:t>
      </w:r>
      <w:r w:rsidR="00E90418">
        <w:t xml:space="preserve"> </w:t>
      </w:r>
      <w:r>
        <w:t>conclusive sull’attuazione delle misure generali</w:t>
      </w:r>
      <w:bookmarkEnd w:id="20"/>
    </w:p>
    <w:p w:rsidR="0030259F" w:rsidRDefault="0030259F" w:rsidP="00804DC2"/>
    <w:p w:rsidR="0030259F" w:rsidRDefault="0030259F" w:rsidP="00804DC2">
      <w:r>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neutrale su Non si specificano altre misure</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1" w:name="_Toc88657663"/>
      <w:r>
        <w:t>RENDICONTAZIONE MISURE SPECIFICHE</w:t>
      </w:r>
      <w:bookmarkEnd w:id="21"/>
    </w:p>
    <w:p w:rsidR="002E0B4A" w:rsidRDefault="002E0B4A" w:rsidP="002E0B4A"/>
    <w:p w:rsidR="00B903D0" w:rsidRDefault="00B903D0" w:rsidP="00AF16D5">
      <w:r>
        <w:t>Nel PTPCT in esame non sono state programmate misure specifiche. Le ragioni alla base della mancata programmazione delle misure specifiche sono di seguito riportate:  Le misure specifiche sono inapplicabili all'Istituzione a causa delle sue ridotte dimensioni e della tipologia di risorse disponibili</w:t>
      </w:r>
    </w:p>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2" w:name="_Toc88657664"/>
      <w:r w:rsidRPr="002954F2">
        <w:t>Quadro</w:t>
      </w:r>
      <w:r>
        <w:t xml:space="preserve">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C707BC">
        <w:tc>
          <w:tcPr>
            <w:tcW w:w="0" w:type="auto"/>
          </w:tcPr>
          <w:p w:rsidR="00C707BC" w:rsidRDefault="006E5231">
            <w:r>
              <w:t xml:space="preserve"> - Non si </w:t>
            </w:r>
            <w:r>
              <w:t>applica</w:t>
            </w:r>
          </w:p>
        </w:tc>
        <w:tc>
          <w:tcPr>
            <w:tcW w:w="0" w:type="auto"/>
          </w:tcPr>
          <w:p w:rsidR="00C707BC" w:rsidRDefault="006E5231">
            <w:r>
              <w:t xml:space="preserve"> - </w:t>
            </w:r>
          </w:p>
        </w:tc>
        <w:tc>
          <w:tcPr>
            <w:tcW w:w="0" w:type="auto"/>
          </w:tcPr>
          <w:p w:rsidR="00C707BC" w:rsidRDefault="006E5231">
            <w:r>
              <w:t xml:space="preserve"> - </w:t>
            </w:r>
          </w:p>
        </w:tc>
        <w:tc>
          <w:tcPr>
            <w:tcW w:w="0" w:type="auto"/>
          </w:tcPr>
          <w:p w:rsidR="00C707BC" w:rsidRDefault="006E5231">
            <w:r>
              <w:t xml:space="preserve"> - </w:t>
            </w:r>
          </w:p>
        </w:tc>
        <w:tc>
          <w:tcPr>
            <w:tcW w:w="0" w:type="auto"/>
          </w:tcPr>
          <w:p w:rsidR="00C707BC" w:rsidRDefault="006E5231">
            <w:r>
              <w:t xml:space="preserve"> - </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3" w:name="_Toc88657665"/>
      <w:r w:rsidRPr="00644242">
        <w:t>MONITORAGGIO GESTIONE DEL RISCHIO</w:t>
      </w:r>
      <w:bookmarkEnd w:id="23"/>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w:t>
      </w:r>
      <w:r>
        <w:br/>
        <w:t xml:space="preserve">  - la capacità di individuare e far emergere situazioni di rischio corruttivo e di intervenire con adeguati rimedi  è aumentata</w:t>
      </w:r>
      <w:r>
        <w:br/>
        <w:t xml:space="preserve">  - la reputazione dell'ente  è aumentata</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4" w:name="_Toc88657666"/>
      <w:r>
        <w:t>MONITORAGGIO PROCEDIMENTI PENALI</w:t>
      </w:r>
      <w:bookmarkEnd w:id="24"/>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t>Nell'anno di riferimento del PTPCT non sono stati conclusi con sentenza o altro provvedimento definitivo, procedimenti penali a carico di dipendenti dell'amministrazione.</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5" w:name="_Toc88657667"/>
      <w:r>
        <w:t>MONITORAGGIO PROCEDIMENTI DISCIPLINARI</w:t>
      </w:r>
      <w:bookmarkEnd w:id="25"/>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6" w:name="_Toc88657668"/>
      <w:r>
        <w:t>CONSIDERAZIONI GENERALI</w:t>
      </w:r>
      <w:bookmarkEnd w:id="26"/>
      <w:r w:rsidRPr="00995656">
        <w:t xml:space="preserve"> </w:t>
      </w:r>
    </w:p>
    <w:p w:rsidR="00936A6B" w:rsidRDefault="00936A6B" w:rsidP="002205E8"/>
    <w:p w:rsidR="00C8510A" w:rsidRDefault="00C8510A" w:rsidP="00194392">
      <w:r>
        <w:t>Si ritiene che lo stato di attuazione del PTPCT (definito attraverso una valutazione sintetica del livello effettivo di attuazione del Piano e delle misure in esso contenute) sia buono per le seguenti ragioni: L'Istituto provvede periodicamente alla verifica circa le misure contenute nel PTPCT 2021-2023 impegnandosi attivamente alla definizione di ulteriori modifiche che saranno riportate anche nel PTPCT 2022-2024 al fine del pieno contrasto al rischio corruttivo</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ragioni:Il PTPCT 2021-2023 ha implementato le misure generali di contrasto al rischio corruttivo che risultano essere parzialmente complete date le ridotte dimensioni dell'ente, oltre che a causa delle scarse risorse di cui esso è provvisto. Però, il PTPCT 2022-2024 provvederà a prevedere una strategia di prevenzione della corruzione più capillare</w:t>
      </w:r>
      <w:r>
        <w:br/>
        <w:t xml:space="preserve"> </w:t>
      </w:r>
      <w:r>
        <w:br/>
        <w:t>Si ritiene che l'esercizio del ruolo di impulso e coordinamento del RPCT rispetto alla messa in atto del processo di gestione del rischio (definito attraverso una valutazione sintetica) sia stato idoneo, per le seguenti ragioni:Il RPCT è stata una figura idonea alla piena messa in atto del processo di gestione del rischio incentivando i controlli sul personale, oltre che sulla contabilità finanziaria e i contratti pubblici. Il PTPCT 2021-2023 provvede ulteriormente in tal senso ad implementare tutte le misure atte al pieno contrasto della corruzione</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7" w:name="_Toc88657669"/>
      <w:r>
        <w:t>MONITORAGGIO MISURE SPECIFICHE</w:t>
      </w:r>
      <w:bookmarkEnd w:id="27"/>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8" w:name="_Toc88657670"/>
      <w:r>
        <w:t>Misure specifiche di controllo</w:t>
      </w:r>
      <w:bookmarkEnd w:id="28"/>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2" w:name="_Toc88657674"/>
      <w:r w:rsidRPr="002954F2">
        <w:t>Misure specifiche di semplificazione</w:t>
      </w:r>
      <w:bookmarkEnd w:id="32"/>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88657675"/>
      <w:r w:rsidRPr="002954F2">
        <w:t>Misure</w:t>
      </w:r>
      <w:r>
        <w:t xml:space="preserve"> specifiche di formazione</w:t>
      </w:r>
      <w:bookmarkEnd w:id="33"/>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5" w:name="_Toc88657677"/>
      <w:r>
        <w:t>Misure specifiche di disciplina del conflitto di interessi</w:t>
      </w:r>
      <w:bookmarkEnd w:id="35"/>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aink="http://schemas.microsoft.com/office/drawing/2016/in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CD6" w:rsidRDefault="00B77CD6" w:rsidP="00424EBB">
      <w:r>
        <w:separator/>
      </w:r>
    </w:p>
  </w:endnote>
  <w:endnote w:type="continuationSeparator" w:id="0">
    <w:p w:rsidR="00B77CD6" w:rsidRDefault="00B77CD6"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6E523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CD6" w:rsidRDefault="00B77CD6" w:rsidP="00424EBB">
      <w:r>
        <w:separator/>
      </w:r>
    </w:p>
  </w:footnote>
  <w:footnote w:type="continuationSeparator" w:id="0">
    <w:p w:rsidR="00B77CD6" w:rsidRDefault="00B77CD6"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231"/>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07BC"/>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6DCA-6B49-41DB-821C-8B91DEA8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2854</Words>
  <Characters>16271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Diletta Giangiulio</cp:lastModifiedBy>
  <cp:revision>2</cp:revision>
  <cp:lastPrinted>2019-09-03T12:09:00Z</cp:lastPrinted>
  <dcterms:created xsi:type="dcterms:W3CDTF">2022-01-26T13:05:00Z</dcterms:created>
  <dcterms:modified xsi:type="dcterms:W3CDTF">2022-01-26T13:05:00Z</dcterms:modified>
</cp:coreProperties>
</file>